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5CF" w:rsidRDefault="008F393D">
      <w:pPr>
        <w:pStyle w:val="Ttulo1"/>
        <w:jc w:val="center"/>
      </w:pPr>
      <w:r>
        <w:rPr>
          <w:rStyle w:val="Textoennegrita"/>
          <w:b w:val="0"/>
          <w:bCs w:val="0"/>
        </w:rPr>
        <w:t>Estadísticas y derechos de acceso</w:t>
      </w:r>
      <w:bookmarkStart w:id="0" w:name="_GoBack"/>
      <w:bookmarkEnd w:id="0"/>
    </w:p>
    <w:p w:rsidR="00B455CF" w:rsidRDefault="00B455CF">
      <w:pPr>
        <w:rPr>
          <w:rFonts w:cs="Calibri"/>
        </w:rPr>
      </w:pPr>
    </w:p>
    <w:p w:rsidR="008F393D" w:rsidRPr="008F393D" w:rsidRDefault="008F393D" w:rsidP="008F393D">
      <w:pPr>
        <w:pStyle w:val="Ttulo5"/>
        <w:rPr>
          <w:color w:val="5B9BD5" w:themeColor="accent1"/>
          <w:sz w:val="28"/>
          <w:szCs w:val="28"/>
        </w:rPr>
      </w:pPr>
      <w:r w:rsidRPr="008F393D">
        <w:rPr>
          <w:rStyle w:val="Textoennegrita"/>
          <w:rFonts w:asciiTheme="minorHAnsi" w:hAnsiTheme="minorHAnsi" w:cstheme="minorHAnsi"/>
          <w:b w:val="0"/>
          <w:bCs w:val="0"/>
          <w:color w:val="5B9BD5" w:themeColor="accent1"/>
          <w:sz w:val="28"/>
          <w:szCs w:val="28"/>
          <w:bdr w:val="none" w:sz="0" w:space="0" w:color="auto" w:frame="1"/>
        </w:rPr>
        <w:t>Información estadística</w:t>
      </w:r>
    </w:p>
    <w:p w:rsidR="008F393D" w:rsidRPr="008F393D" w:rsidRDefault="008F393D" w:rsidP="008F393D">
      <w:pPr>
        <w:pStyle w:val="Sinespaciado"/>
        <w:jc w:val="both"/>
        <w:rPr>
          <w:rFonts w:asciiTheme="minorHAnsi" w:hAnsiTheme="minorHAnsi" w:cstheme="minorHAnsi"/>
          <w:bCs/>
          <w:color w:val="333333"/>
          <w:bdr w:val="none" w:sz="0" w:space="0" w:color="auto" w:frame="1"/>
        </w:rPr>
      </w:pPr>
      <w:r w:rsidRPr="008F393D">
        <w:rPr>
          <w:rFonts w:asciiTheme="minorHAnsi" w:hAnsiTheme="minorHAnsi" w:cstheme="minorHAnsi"/>
          <w:bCs/>
          <w:color w:val="333333"/>
          <w:bdr w:val="none" w:sz="0" w:space="0" w:color="auto" w:frame="1"/>
        </w:rPr>
        <w:t>SEMUSA no realiza estadísticas para valorar el grado de cumplimiento y calidad de los servicios públicos que sean de su competencia.</w:t>
      </w:r>
    </w:p>
    <w:p w:rsidR="008F393D" w:rsidRPr="008F393D" w:rsidRDefault="008F393D" w:rsidP="008F393D">
      <w:pPr>
        <w:pStyle w:val="Sinespaciado"/>
        <w:jc w:val="both"/>
        <w:rPr>
          <w:rFonts w:asciiTheme="minorHAnsi" w:hAnsiTheme="minorHAnsi" w:cstheme="minorHAnsi"/>
          <w:color w:val="333333"/>
        </w:rPr>
      </w:pPr>
      <w:r w:rsidRPr="008F393D">
        <w:rPr>
          <w:rFonts w:asciiTheme="minorHAnsi" w:hAnsiTheme="minorHAnsi" w:cstheme="minorHAnsi"/>
          <w:b/>
          <w:bCs/>
          <w:color w:val="333333"/>
          <w:bdr w:val="none" w:sz="0" w:space="0" w:color="auto" w:frame="1"/>
        </w:rPr>
        <w:br/>
      </w:r>
    </w:p>
    <w:p w:rsidR="008F393D" w:rsidRPr="008F393D" w:rsidRDefault="008F393D" w:rsidP="008F393D">
      <w:pPr>
        <w:pStyle w:val="Ttulo5"/>
        <w:rPr>
          <w:rStyle w:val="Textoennegrita"/>
          <w:color w:val="5B9BD5" w:themeColor="accent1"/>
          <w:sz w:val="28"/>
          <w:szCs w:val="28"/>
          <w:bdr w:val="none" w:sz="0" w:space="0" w:color="auto" w:frame="1"/>
        </w:rPr>
      </w:pPr>
      <w:r w:rsidRPr="008F393D">
        <w:rPr>
          <w:rStyle w:val="Textoennegrita"/>
          <w:rFonts w:asciiTheme="minorHAnsi" w:hAnsiTheme="minorHAnsi" w:cstheme="minorHAnsi"/>
          <w:b w:val="0"/>
          <w:bCs w:val="0"/>
          <w:color w:val="5B9BD5" w:themeColor="accent1"/>
          <w:sz w:val="28"/>
          <w:szCs w:val="28"/>
          <w:bdr w:val="none" w:sz="0" w:space="0" w:color="auto" w:frame="1"/>
        </w:rPr>
        <w:t>Órgano competente en materia de derecho de acceso</w:t>
      </w:r>
    </w:p>
    <w:p w:rsidR="008F393D" w:rsidRDefault="008F393D" w:rsidP="008F393D">
      <w:pPr>
        <w:pStyle w:val="Sinespaciado"/>
        <w:jc w:val="both"/>
        <w:rPr>
          <w:rFonts w:asciiTheme="minorHAnsi" w:hAnsiTheme="minorHAnsi" w:cstheme="minorHAnsi"/>
          <w:color w:val="333333"/>
        </w:rPr>
      </w:pPr>
    </w:p>
    <w:p w:rsidR="008F393D" w:rsidRPr="008F393D" w:rsidRDefault="008F393D" w:rsidP="008F393D">
      <w:pPr>
        <w:pStyle w:val="Sinespaciado"/>
        <w:jc w:val="both"/>
        <w:rPr>
          <w:rFonts w:asciiTheme="minorHAnsi" w:hAnsiTheme="minorHAnsi" w:cstheme="minorHAnsi"/>
          <w:color w:val="333333"/>
        </w:rPr>
      </w:pPr>
      <w:r w:rsidRPr="008F393D">
        <w:rPr>
          <w:rFonts w:asciiTheme="minorHAnsi" w:hAnsiTheme="minorHAnsi" w:cstheme="minorHAnsi"/>
          <w:color w:val="333333"/>
        </w:rPr>
        <w:t>Al tratarse de una sociedad mercantil con participación pública mayoritaria, las solicitudes de acceso a la información se rigen por el artículo 36.2.b) de la </w:t>
      </w:r>
      <w:hyperlink r:id="rId7" w:anchor="page=13" w:tgtFrame="_blank" w:history="1">
        <w:r w:rsidRPr="008F393D">
          <w:rPr>
            <w:rStyle w:val="Hipervnculo"/>
            <w:rFonts w:asciiTheme="minorHAnsi" w:hAnsiTheme="minorHAnsi" w:cstheme="minorHAnsi"/>
            <w:b/>
            <w:bCs/>
            <w:bdr w:val="none" w:sz="0" w:space="0" w:color="auto" w:frame="1"/>
          </w:rPr>
          <w:t>Ley 12/2014, de 26 de diciembre, de transparencia y de acceso a la información pública</w:t>
        </w:r>
      </w:hyperlink>
      <w:r w:rsidRPr="008F393D">
        <w:rPr>
          <w:rFonts w:asciiTheme="minorHAnsi" w:hAnsiTheme="minorHAnsi" w:cstheme="minorHAnsi"/>
          <w:color w:val="333333"/>
        </w:rPr>
        <w:t> que establece que: “</w:t>
      </w:r>
      <w:r w:rsidRPr="008F393D">
        <w:rPr>
          <w:rStyle w:val="nfasis"/>
          <w:rFonts w:asciiTheme="minorHAnsi" w:hAnsiTheme="minorHAnsi" w:cstheme="minorHAnsi"/>
          <w:color w:val="333333"/>
          <w:bdr w:val="none" w:sz="0" w:space="0" w:color="auto" w:frame="1"/>
        </w:rPr>
        <w:t>Cuando la solicitud de acceso se refiera a información elaborada o en poder de fundaciones públicas, sociedades mercantiles y consorcios en las que sea mayoritaria la participación directa o indirecta de las entidades citadas en el apartado anterior, será competente el órgano del departamento al que estén vinculadas o adscritas y, en su defecto, al que tenga atribuidas las competencias en el ámbito funcional de los fines, objeto social o ámbito de aquellas entidades</w:t>
      </w:r>
      <w:r w:rsidRPr="008F393D">
        <w:rPr>
          <w:rFonts w:asciiTheme="minorHAnsi" w:hAnsiTheme="minorHAnsi" w:cstheme="minorHAnsi"/>
          <w:color w:val="333333"/>
        </w:rPr>
        <w:t>“.</w:t>
      </w:r>
    </w:p>
    <w:p w:rsidR="008F393D" w:rsidRDefault="008F393D" w:rsidP="008F393D">
      <w:pPr>
        <w:pStyle w:val="Sinespaciado"/>
        <w:jc w:val="both"/>
        <w:rPr>
          <w:rFonts w:asciiTheme="minorHAnsi" w:hAnsiTheme="minorHAnsi" w:cstheme="minorHAnsi"/>
          <w:color w:val="333333"/>
        </w:rPr>
      </w:pPr>
    </w:p>
    <w:p w:rsidR="008F393D" w:rsidRPr="008F393D" w:rsidRDefault="008F393D" w:rsidP="008F393D">
      <w:pPr>
        <w:pStyle w:val="Sinespaciado"/>
        <w:jc w:val="both"/>
        <w:rPr>
          <w:rFonts w:asciiTheme="minorHAnsi" w:hAnsiTheme="minorHAnsi" w:cstheme="minorHAnsi"/>
          <w:color w:val="333333"/>
        </w:rPr>
      </w:pPr>
      <w:r w:rsidRPr="008F393D">
        <w:rPr>
          <w:rFonts w:asciiTheme="minorHAnsi" w:hAnsiTheme="minorHAnsi" w:cstheme="minorHAnsi"/>
          <w:color w:val="333333"/>
        </w:rPr>
        <w:t>En este caso, el área de Transparencia se encuentra adscrito a Secretaría General del Ayuntamiento, siendo el/</w:t>
      </w:r>
      <w:proofErr w:type="gramStart"/>
      <w:r w:rsidRPr="008F393D">
        <w:rPr>
          <w:rFonts w:asciiTheme="minorHAnsi" w:hAnsiTheme="minorHAnsi" w:cstheme="minorHAnsi"/>
          <w:color w:val="333333"/>
        </w:rPr>
        <w:t>la alcalde</w:t>
      </w:r>
      <w:proofErr w:type="gramEnd"/>
      <w:r w:rsidRPr="008F393D">
        <w:rPr>
          <w:rFonts w:asciiTheme="minorHAnsi" w:hAnsiTheme="minorHAnsi" w:cstheme="minorHAnsi"/>
          <w:color w:val="333333"/>
        </w:rPr>
        <w:t>/</w:t>
      </w:r>
      <w:proofErr w:type="spellStart"/>
      <w:r w:rsidRPr="008F393D">
        <w:rPr>
          <w:rFonts w:asciiTheme="minorHAnsi" w:hAnsiTheme="minorHAnsi" w:cstheme="minorHAnsi"/>
          <w:color w:val="333333"/>
        </w:rPr>
        <w:t>sa</w:t>
      </w:r>
      <w:proofErr w:type="spellEnd"/>
      <w:r w:rsidRPr="008F393D">
        <w:rPr>
          <w:rFonts w:asciiTheme="minorHAnsi" w:hAnsiTheme="minorHAnsi" w:cstheme="minorHAnsi"/>
          <w:color w:val="333333"/>
        </w:rPr>
        <w:t xml:space="preserve"> el competente en materia de derecho de acceso. El área cuenta con un técnico de Transparencia:</w:t>
      </w:r>
    </w:p>
    <w:p w:rsidR="008F393D" w:rsidRPr="008F393D" w:rsidRDefault="008F393D" w:rsidP="008F393D">
      <w:pPr>
        <w:pStyle w:val="Sinespaciado"/>
        <w:numPr>
          <w:ilvl w:val="0"/>
          <w:numId w:val="3"/>
        </w:numPr>
        <w:jc w:val="both"/>
        <w:rPr>
          <w:rFonts w:asciiTheme="minorHAnsi" w:hAnsiTheme="minorHAnsi" w:cstheme="minorHAnsi"/>
          <w:color w:val="333333"/>
        </w:rPr>
      </w:pPr>
      <w:r w:rsidRPr="008F393D">
        <w:rPr>
          <w:rFonts w:asciiTheme="minorHAnsi" w:hAnsiTheme="minorHAnsi" w:cstheme="minorHAnsi"/>
          <w:color w:val="333333"/>
        </w:rPr>
        <w:t xml:space="preserve">Técnica de Transparencia y Participación Ciudadana: </w:t>
      </w:r>
      <w:proofErr w:type="spellStart"/>
      <w:r w:rsidRPr="008F393D">
        <w:rPr>
          <w:rFonts w:asciiTheme="minorHAnsi" w:hAnsiTheme="minorHAnsi" w:cstheme="minorHAnsi"/>
          <w:color w:val="333333"/>
        </w:rPr>
        <w:t>Guacimara</w:t>
      </w:r>
      <w:proofErr w:type="spellEnd"/>
      <w:r w:rsidRPr="008F393D">
        <w:rPr>
          <w:rFonts w:asciiTheme="minorHAnsi" w:hAnsiTheme="minorHAnsi" w:cstheme="minorHAnsi"/>
          <w:color w:val="333333"/>
        </w:rPr>
        <w:t xml:space="preserve"> Rivero</w:t>
      </w:r>
    </w:p>
    <w:p w:rsidR="008F393D" w:rsidRPr="008F393D" w:rsidRDefault="008F393D" w:rsidP="008F393D">
      <w:pPr>
        <w:pStyle w:val="Sinespaciado"/>
        <w:numPr>
          <w:ilvl w:val="0"/>
          <w:numId w:val="3"/>
        </w:numPr>
        <w:jc w:val="both"/>
        <w:rPr>
          <w:rFonts w:asciiTheme="minorHAnsi" w:hAnsiTheme="minorHAnsi" w:cstheme="minorHAnsi"/>
          <w:color w:val="333333"/>
        </w:rPr>
      </w:pPr>
      <w:r w:rsidRPr="008F393D">
        <w:rPr>
          <w:rFonts w:asciiTheme="minorHAnsi" w:hAnsiTheme="minorHAnsi" w:cstheme="minorHAnsi"/>
          <w:color w:val="333333"/>
        </w:rPr>
        <w:t>Teléfono de contacto: 922-57-00-00 Ext. 1154</w:t>
      </w:r>
    </w:p>
    <w:p w:rsidR="008F393D" w:rsidRPr="008F393D" w:rsidRDefault="008F393D" w:rsidP="008F393D">
      <w:pPr>
        <w:pStyle w:val="Sinespaciado"/>
        <w:numPr>
          <w:ilvl w:val="0"/>
          <w:numId w:val="3"/>
        </w:numPr>
        <w:jc w:val="both"/>
        <w:rPr>
          <w:rFonts w:asciiTheme="minorHAnsi" w:hAnsiTheme="minorHAnsi" w:cstheme="minorHAnsi"/>
          <w:color w:val="333333"/>
        </w:rPr>
      </w:pPr>
      <w:r w:rsidRPr="008F393D">
        <w:rPr>
          <w:rFonts w:asciiTheme="minorHAnsi" w:hAnsiTheme="minorHAnsi" w:cstheme="minorHAnsi"/>
          <w:color w:val="333333"/>
        </w:rPr>
        <w:t>Correo electrónico: </w:t>
      </w:r>
      <w:hyperlink r:id="rId8" w:tgtFrame="_blank" w:history="1">
        <w:r w:rsidRPr="008F393D">
          <w:rPr>
            <w:rStyle w:val="Hipervnculo"/>
            <w:rFonts w:asciiTheme="minorHAnsi" w:hAnsiTheme="minorHAnsi" w:cstheme="minorHAnsi"/>
            <w:b/>
            <w:bCs/>
            <w:bdr w:val="none" w:sz="0" w:space="0" w:color="auto" w:frame="1"/>
          </w:rPr>
          <w:t>guacimara.rivero@elsauzal.es</w:t>
        </w:r>
      </w:hyperlink>
    </w:p>
    <w:p w:rsidR="008F393D" w:rsidRDefault="008F393D" w:rsidP="008F393D">
      <w:pPr>
        <w:pStyle w:val="Sinespaciado"/>
        <w:jc w:val="both"/>
        <w:rPr>
          <w:rFonts w:asciiTheme="minorHAnsi" w:hAnsiTheme="minorHAnsi" w:cstheme="minorHAnsi"/>
          <w:color w:val="333333"/>
        </w:rPr>
      </w:pPr>
    </w:p>
    <w:p w:rsidR="008F393D" w:rsidRPr="008F393D" w:rsidRDefault="008F393D" w:rsidP="008F393D">
      <w:pPr>
        <w:pStyle w:val="Sinespaciado"/>
        <w:jc w:val="both"/>
        <w:rPr>
          <w:rFonts w:asciiTheme="minorHAnsi" w:hAnsiTheme="minorHAnsi" w:cstheme="minorHAnsi"/>
          <w:color w:val="333333"/>
        </w:rPr>
      </w:pPr>
      <w:r w:rsidRPr="008F393D">
        <w:rPr>
          <w:rFonts w:asciiTheme="minorHAnsi" w:hAnsiTheme="minorHAnsi" w:cstheme="minorHAnsi"/>
          <w:color w:val="333333"/>
        </w:rPr>
        <w:t>Por ello, desde la</w:t>
      </w:r>
      <w:r w:rsidRPr="008F393D">
        <w:rPr>
          <w:rStyle w:val="Textoennegrita"/>
          <w:rFonts w:asciiTheme="minorHAnsi" w:hAnsiTheme="minorHAnsi" w:cstheme="minorHAnsi"/>
          <w:color w:val="0000FF"/>
          <w:bdr w:val="none" w:sz="0" w:space="0" w:color="auto" w:frame="1"/>
        </w:rPr>
        <w:t> </w:t>
      </w:r>
      <w:hyperlink r:id="rId9" w:history="1">
        <w:r w:rsidRPr="008F393D">
          <w:rPr>
            <w:rStyle w:val="Hipervnculo"/>
            <w:rFonts w:asciiTheme="minorHAnsi" w:hAnsiTheme="minorHAnsi" w:cstheme="minorHAnsi"/>
            <w:b/>
            <w:bCs/>
            <w:bdr w:val="none" w:sz="0" w:space="0" w:color="auto" w:frame="1"/>
          </w:rPr>
          <w:t>sede electrónica</w:t>
        </w:r>
      </w:hyperlink>
      <w:r w:rsidRPr="008F393D">
        <w:rPr>
          <w:rFonts w:asciiTheme="minorHAnsi" w:hAnsiTheme="minorHAnsi" w:cstheme="minorHAnsi"/>
          <w:color w:val="333333"/>
        </w:rPr>
        <w:t> del Ayuntamiento de El Sauzal, se puede presentar una solicitud de información. También se puede rellenar el siguiente formulario y presentarlo en el Registro General del Ayuntamiento, en la Oficina de Ravelo o por correo postal (así como a través de cualquiera de los medios recogidos en el artículo 16.4 de la Ley 39/2015, de 1 de octubre, del Procedimiento Administrativo Común de las Administraciones Públicas).</w:t>
      </w:r>
    </w:p>
    <w:p w:rsidR="008F393D" w:rsidRDefault="008F393D" w:rsidP="008F393D">
      <w:pPr>
        <w:pStyle w:val="Sinespaciado"/>
        <w:jc w:val="both"/>
        <w:rPr>
          <w:rStyle w:val="Textoennegrita"/>
          <w:rFonts w:asciiTheme="minorHAnsi" w:hAnsiTheme="minorHAnsi" w:cstheme="minorHAnsi"/>
          <w:color w:val="0000FF"/>
          <w:bdr w:val="none" w:sz="0" w:space="0" w:color="auto" w:frame="1"/>
        </w:rPr>
      </w:pPr>
    </w:p>
    <w:p w:rsidR="008F393D" w:rsidRDefault="008F393D" w:rsidP="008F393D">
      <w:pPr>
        <w:pStyle w:val="Sinespaciado"/>
        <w:jc w:val="both"/>
        <w:rPr>
          <w:rStyle w:val="Textoennegrita"/>
          <w:rFonts w:asciiTheme="minorHAnsi" w:hAnsiTheme="minorHAnsi" w:cstheme="minorHAnsi"/>
          <w:color w:val="0000FF"/>
          <w:bdr w:val="none" w:sz="0" w:space="0" w:color="auto" w:frame="1"/>
        </w:rPr>
      </w:pPr>
      <w:hyperlink r:id="rId10" w:history="1">
        <w:r w:rsidRPr="008F393D">
          <w:rPr>
            <w:rStyle w:val="Hipervnculo"/>
            <w:rFonts w:asciiTheme="minorHAnsi" w:hAnsiTheme="minorHAnsi" w:cstheme="minorHAnsi"/>
            <w:b/>
            <w:bCs/>
            <w:bdr w:val="none" w:sz="0" w:space="0" w:color="auto" w:frame="1"/>
          </w:rPr>
          <w:t>Solicitud de Información</w:t>
        </w:r>
      </w:hyperlink>
    </w:p>
    <w:p w:rsidR="008F393D" w:rsidRPr="008F393D" w:rsidRDefault="008F393D" w:rsidP="008F393D">
      <w:pPr>
        <w:pStyle w:val="Sinespaciado"/>
        <w:jc w:val="both"/>
        <w:rPr>
          <w:rFonts w:asciiTheme="minorHAnsi" w:hAnsiTheme="minorHAnsi" w:cstheme="minorHAnsi"/>
          <w:color w:val="333333"/>
        </w:rPr>
      </w:pPr>
    </w:p>
    <w:p w:rsidR="008F393D" w:rsidRDefault="008F393D" w:rsidP="008F393D">
      <w:pPr>
        <w:pStyle w:val="Sinespaciado"/>
        <w:jc w:val="both"/>
        <w:rPr>
          <w:rFonts w:asciiTheme="minorHAnsi" w:hAnsiTheme="minorHAnsi" w:cstheme="minorHAnsi"/>
          <w:color w:val="333333"/>
        </w:rPr>
      </w:pPr>
      <w:r w:rsidRPr="008F393D">
        <w:rPr>
          <w:rFonts w:asciiTheme="minorHAnsi" w:hAnsiTheme="minorHAnsi" w:cstheme="minorHAnsi"/>
          <w:color w:val="333333"/>
        </w:rPr>
        <w:t>Igualmente, y siguiendo los preceptos establecidos por las leyes de transparencia, existe a disposición de la ciudadanía un </w:t>
      </w:r>
      <w:hyperlink r:id="rId11" w:history="1">
        <w:r w:rsidRPr="008F393D">
          <w:rPr>
            <w:rStyle w:val="Hipervnculo"/>
            <w:rFonts w:asciiTheme="minorHAnsi" w:hAnsiTheme="minorHAnsi" w:cstheme="minorHAnsi"/>
            <w:color w:val="111111"/>
            <w:bdr w:val="none" w:sz="0" w:space="0" w:color="auto" w:frame="1"/>
          </w:rPr>
          <w:t>área de transparencia</w:t>
        </w:r>
      </w:hyperlink>
      <w:r w:rsidRPr="008F393D">
        <w:rPr>
          <w:rFonts w:asciiTheme="minorHAnsi" w:hAnsiTheme="minorHAnsi" w:cstheme="minorHAnsi"/>
          <w:color w:val="333333"/>
        </w:rPr>
        <w:t> en la web donde se pueden consultar los datos más relevantes de la entidad.</w:t>
      </w:r>
    </w:p>
    <w:p w:rsidR="008F393D" w:rsidRPr="008F393D" w:rsidRDefault="008F393D" w:rsidP="008F393D">
      <w:pPr>
        <w:pStyle w:val="Sinespaciado"/>
        <w:jc w:val="both"/>
        <w:rPr>
          <w:rFonts w:asciiTheme="minorHAnsi" w:hAnsiTheme="minorHAnsi" w:cstheme="minorHAnsi"/>
          <w:color w:val="333333"/>
        </w:rPr>
      </w:pPr>
    </w:p>
    <w:p w:rsidR="008F393D" w:rsidRPr="008F393D" w:rsidRDefault="008F393D" w:rsidP="008F393D">
      <w:pPr>
        <w:pStyle w:val="Ttulo5"/>
        <w:rPr>
          <w:rStyle w:val="Textoennegrita"/>
          <w:color w:val="5B9BD5" w:themeColor="accent1"/>
          <w:sz w:val="28"/>
          <w:szCs w:val="28"/>
          <w:bdr w:val="none" w:sz="0" w:space="0" w:color="auto" w:frame="1"/>
        </w:rPr>
      </w:pPr>
      <w:r w:rsidRPr="008F393D">
        <w:rPr>
          <w:rStyle w:val="Textoennegrita"/>
          <w:rFonts w:asciiTheme="minorHAnsi" w:hAnsiTheme="minorHAnsi" w:cstheme="minorHAnsi"/>
          <w:b w:val="0"/>
          <w:bCs w:val="0"/>
          <w:color w:val="5B9BD5" w:themeColor="accent1"/>
          <w:sz w:val="28"/>
          <w:szCs w:val="28"/>
          <w:bdr w:val="none" w:sz="0" w:space="0" w:color="auto" w:frame="1"/>
        </w:rPr>
        <w:t>Estadísticas de acceso</w:t>
      </w:r>
    </w:p>
    <w:p w:rsidR="008F393D" w:rsidRPr="008F393D" w:rsidRDefault="008F393D" w:rsidP="008F393D">
      <w:pPr>
        <w:pStyle w:val="Sinespaciado"/>
        <w:jc w:val="both"/>
        <w:rPr>
          <w:rFonts w:asciiTheme="minorHAnsi" w:hAnsiTheme="minorHAnsi" w:cstheme="minorHAnsi"/>
          <w:color w:val="333333"/>
        </w:rPr>
      </w:pPr>
      <w:r w:rsidRPr="008F393D">
        <w:rPr>
          <w:rFonts w:asciiTheme="minorHAnsi" w:hAnsiTheme="minorHAnsi" w:cstheme="minorHAnsi"/>
          <w:bCs/>
          <w:color w:val="333333"/>
          <w:bdr w:val="none" w:sz="0" w:space="0" w:color="auto" w:frame="1"/>
        </w:rPr>
        <w:t>Semusa no ha recibido ninguna solicitud de acceso a la información durante 2025. Por ello, no existen resoluciones denegatorias ni estadísticas de derecho de acceso.</w:t>
      </w:r>
    </w:p>
    <w:p w:rsidR="00B455CF" w:rsidRDefault="00B455CF">
      <w:pPr>
        <w:rPr>
          <w:rFonts w:cs="Calibri"/>
        </w:rPr>
      </w:pPr>
    </w:p>
    <w:sectPr w:rsidR="00B455CF">
      <w:headerReference w:type="default" r:id="rId12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C06" w:rsidRDefault="00414C06">
      <w:pPr>
        <w:spacing w:after="0" w:line="240" w:lineRule="auto"/>
      </w:pPr>
      <w:r>
        <w:separator/>
      </w:r>
    </w:p>
  </w:endnote>
  <w:endnote w:type="continuationSeparator" w:id="0">
    <w:p w:rsidR="00414C06" w:rsidRDefault="0041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C06" w:rsidRDefault="00414C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14C06" w:rsidRDefault="0041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97B" w:rsidRDefault="00414C0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-897885</wp:posOffset>
          </wp:positionH>
          <wp:positionV relativeFrom="paragraph">
            <wp:posOffset>-281936</wp:posOffset>
          </wp:positionV>
          <wp:extent cx="899998" cy="899998"/>
          <wp:effectExtent l="0" t="0" r="0" b="0"/>
          <wp:wrapTopAndBottom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9998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70B0"/>
    <w:multiLevelType w:val="multilevel"/>
    <w:tmpl w:val="C6706F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C6C4B8A"/>
    <w:multiLevelType w:val="hybridMultilevel"/>
    <w:tmpl w:val="5D7CB1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419"/>
    <w:multiLevelType w:val="multilevel"/>
    <w:tmpl w:val="B5A4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455CF"/>
    <w:rsid w:val="00414C06"/>
    <w:rsid w:val="008F393D"/>
    <w:rsid w:val="00B455CF"/>
    <w:rsid w:val="00C6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128D"/>
  <w15:docId w15:val="{053F6B5C-32C2-4009-BE88-034F6F43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F39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F39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pPr>
      <w:ind w:left="720"/>
    </w:pPr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customStyle="1" w:styleId="Ttulo4Car">
    <w:name w:val="Título 4 Car"/>
    <w:basedOn w:val="Fuentedeprrafopredeter"/>
    <w:rPr>
      <w:rFonts w:ascii="Calibri Light" w:eastAsia="Times New Roman" w:hAnsi="Calibri Light" w:cs="Times New Roman"/>
      <w:i/>
      <w:iCs/>
      <w:color w:val="2E74B5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inespaciado">
    <w:name w:val="No Spacing"/>
    <w:uiPriority w:val="1"/>
    <w:qFormat/>
    <w:rsid w:val="008F393D"/>
    <w:pPr>
      <w:suppressAutoHyphens/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8F39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8F393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icipacion@elsauzal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biernodecanarias.org/libroazul/pdf/71248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musa.es/transparenci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lsauzal.es/wp-content/uploads/2015/09/solicitud-de-informaci%C3%B3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sauzal.sedelectronica.es/?x=kOpY1I-x2SQdyhZH2bo2ufgmfts7oKxlYsJb8qjszc9uYZOxv460JH4w1ePSMf8oMVBL88a78JzKaNrmcSptDtJQdzo1gnQS8YUQ1kezkwWSc2yyRnjDtnAZrJw04iw5hvy3sK542*k27Gu25VB*KG-zqu-pu8xUuHRU7QiZjlkzu7fFqF*EKgLRt-1Z5b*BY1MWPvieEWWgeEL-oNG5cQ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lenovo</cp:lastModifiedBy>
  <cp:revision>2</cp:revision>
  <cp:lastPrinted>2026-06-10T12:16:00Z</cp:lastPrinted>
  <dcterms:created xsi:type="dcterms:W3CDTF">2026-06-10T13:51:00Z</dcterms:created>
  <dcterms:modified xsi:type="dcterms:W3CDTF">2026-06-10T13:51:00Z</dcterms:modified>
</cp:coreProperties>
</file>