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utoSpaceDN w:val="0"/>
        <w:adjustRightInd w:val="0"/>
        <w:spacing w:before="120" w:after="120" w:line="360" w:lineRule="auto"/>
        <w:jc w:val="both"/>
        <w:outlineLvl w:val="1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Artículo 13</w:t>
      </w:r>
      <w:r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>Facultades del Consejo de Administración.</w:t>
      </w:r>
    </w:p>
    <w:p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El Consejo de Administración está investido de los poderes más amplios para dirigir, administrar, disponer de sus bienes y representar a la Sociedad, correspondiéndole todas las atribuciones que no se hallan expresamente reservadas a la Junta General.</w:t>
      </w:r>
    </w:p>
    <w:p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Con mero carácter enunciativo, y sin que ello implique una restricción del carácter general de sus facultades, tendrá las siguientes:</w:t>
      </w:r>
    </w:p>
    <w:p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Designar, de entre sus miembros, un </w:t>
      </w:r>
      <w:proofErr w:type="gramStart"/>
      <w:r>
        <w:rPr>
          <w:rFonts w:ascii="Arial" w:hAnsi="Arial" w:cs="Arial"/>
          <w:color w:val="auto"/>
        </w:rPr>
        <w:t>Vicepresidente</w:t>
      </w:r>
      <w:proofErr w:type="gramEnd"/>
      <w:r>
        <w:rPr>
          <w:rFonts w:ascii="Arial" w:hAnsi="Arial" w:cs="Arial"/>
          <w:color w:val="auto"/>
        </w:rPr>
        <w:t>, que sustituirá al Presidente en los casos de ausencia o impedimento de éste, así como un Secretario, que podrá no ser Consejero.</w:t>
      </w:r>
    </w:p>
    <w:p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Convocar las Juntas, tanto Ordinarias como Extraordinarias, en los casos en que proceda, conforme a los presentes Estatutos y a la Ley, redactando el Orden del Día y formulando las propuestas adecuadas a la clase de Junta que se convoque.</w:t>
      </w:r>
    </w:p>
    <w:p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Nombrar, remover y fijar la estructura de funciones de los cargos directivos de la Sociedad.</w:t>
      </w:r>
    </w:p>
    <w:p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Resolver y acordar la intervención de la Sociedad en todos los asuntos y actos administrativos y judiciales, civiles y mercantiles y penales, ante la Administración del Estado o Corporaciones Públicas de todo orden, así como ante cualquier jurisdicción (ordinaria, administrativa, especial, laboral, etc.) ejerciendo toda clase de acciones que le correspondan en defensa de sus derechos, en juicio o fuera de él, dando y otorgando los oportunos poderes a Procuradores para que representes a la Sociedad ante dichos Tribunales y Organismos, para lo cual estará representado el Consejo por su Presidente o el Consejero que se designe.</w:t>
      </w:r>
    </w:p>
    <w:p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Podrá, asimismo, hacer toda clase de cobros y pagos al Estado y demás Corporaciones Públicas, suscribiendo los oportunos documentos, incluso en el Banco de España.</w:t>
      </w:r>
    </w:p>
    <w:p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Dirigir y ordenar la Sociedad y los negocios y bienes que constituyan su activo, atendiendo a la gestión de los mismos de una manera constante. A este fin, trazará las normas de gobierno y el régimen de administración de la Sociedad, organizando y reglamentando los servicios técnicos y administrativos, fijando los gastos y aprobando las plantillas de personal.</w:t>
      </w:r>
    </w:p>
    <w:p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Comprar, pura o condicionalmente; vender y permutar bienes muebles e inmuebles y participaciones indivisas de los mismos; hacer segregaciones, agrupaciones y declaraciones de obras; dividir material y horizontalmente fincas rústicas y urbanas; constituir hipotecas y cualquier clase de gravámenes y derechos reales y cancelarlos en su caso, comprometer y transigir; y en general, celebrar toda clase de contratos sobre cualquier clase de bienes o derechos mediante los pactos o condiciones que juzgue conveniente, aunque entrañen enajenaciones o gravamen de inmuebles, afianzamiento de negocios ajenos, así como renunciar, mediante pago o sin él, toda clase de privilegios o derechos, e inscribir toda clase de actos, derechos y contratos inscribibles en el Registro de la Propiedad.</w:t>
      </w:r>
    </w:p>
    <w:p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Llevar la firma y actuar en nombre de la Sociedad en toda clase de operaciones bancarias con las Entidades de Crédito, incluso con el Banco de España y otras Entidades de Crédito Oficial.</w:t>
      </w:r>
    </w:p>
    <w:p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Formular, en el plazo máximo de tres meses, contados a partir del cierre del ejercicio social, las cuentas anuales, el informe de gestión y la propuesta de aplicación del resultado, así como, en su caso, las cuentas y el informe de gestión consolidados.</w:t>
      </w:r>
    </w:p>
    <w:p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Realizar cualesquiera actos o actuaciones tendentes a conseguir, de la mejor forma posible, el objeto social.</w:t>
      </w:r>
    </w:p>
    <w:p>
      <w:pPr>
        <w:pStyle w:val="Prrafodelista"/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</w:p>
    <w:p>
      <w:pPr>
        <w:pStyle w:val="Prrafodelista"/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color w:val="auto"/>
        </w:rPr>
      </w:pPr>
    </w:p>
    <w:p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i/>
          <w:color w:val="auto"/>
        </w:rPr>
      </w:pPr>
      <w:bookmarkStart w:id="0" w:name="_GoBack"/>
      <w:bookmarkEnd w:id="0"/>
    </w:p>
    <w:sectPr>
      <w:headerReference w:type="default" r:id="rId8"/>
      <w:footerReference w:type="even" r:id="rId9"/>
      <w:footerReference w:type="default" r:id="rId10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ncabezado"/>
      <w:jc w:val="center"/>
    </w:pPr>
    <w:r>
      <w:rPr>
        <w:noProof/>
      </w:rPr>
      <w:drawing>
        <wp:inline distT="0" distB="0" distL="0" distR="0">
          <wp:extent cx="8572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USA_189x18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07C9"/>
    <w:multiLevelType w:val="hybridMultilevel"/>
    <w:tmpl w:val="B1466F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0FD7"/>
    <w:multiLevelType w:val="hybridMultilevel"/>
    <w:tmpl w:val="9F16BD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02E6"/>
    <w:multiLevelType w:val="hybridMultilevel"/>
    <w:tmpl w:val="DE96C97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F11BBA"/>
    <w:multiLevelType w:val="hybridMultilevel"/>
    <w:tmpl w:val="723CDD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91511"/>
    <w:multiLevelType w:val="hybridMultilevel"/>
    <w:tmpl w:val="DAA46138"/>
    <w:lvl w:ilvl="0" w:tplc="0C0A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" w15:restartNumberingAfterBreak="0">
    <w:nsid w:val="3DF764CC"/>
    <w:multiLevelType w:val="hybridMultilevel"/>
    <w:tmpl w:val="83167128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551616"/>
    <w:multiLevelType w:val="hybridMultilevel"/>
    <w:tmpl w:val="2132BF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73E5A"/>
    <w:multiLevelType w:val="hybridMultilevel"/>
    <w:tmpl w:val="9C3060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B66F2"/>
    <w:multiLevelType w:val="hybridMultilevel"/>
    <w:tmpl w:val="34C0F4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445C7"/>
    <w:multiLevelType w:val="hybridMultilevel"/>
    <w:tmpl w:val="10C84928"/>
    <w:lvl w:ilvl="0" w:tplc="E6C4A8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C3175"/>
    <w:multiLevelType w:val="hybridMultilevel"/>
    <w:tmpl w:val="1230F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004CCA-D7AD-4854-9328-C0FD65E9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Default"/>
    <w:next w:val="Default"/>
    <w:qFormat/>
    <w:pPr>
      <w:outlineLvl w:val="0"/>
    </w:pPr>
    <w:rPr>
      <w:color w:val="auto"/>
    </w:rPr>
  </w:style>
  <w:style w:type="paragraph" w:styleId="Ttulo3">
    <w:name w:val="heading 3"/>
    <w:basedOn w:val="Default"/>
    <w:next w:val="Default"/>
    <w:qFormat/>
    <w:pPr>
      <w:outlineLvl w:val="2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notaalpie">
    <w:name w:val="footnote reference"/>
    <w:rPr>
      <w:color w:val="000000"/>
    </w:rPr>
  </w:style>
  <w:style w:type="paragraph" w:styleId="Textoindependiente">
    <w:name w:val="Body Text"/>
    <w:basedOn w:val="Default"/>
    <w:next w:val="Default"/>
    <w:rPr>
      <w:color w:val="auto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fasis">
    <w:name w:val="Emphasis"/>
    <w:basedOn w:val="Fuentedeprrafopredeter"/>
    <w:qFormat/>
    <w:rPr>
      <w:i/>
      <w:iCs/>
    </w:rPr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9B51-F823-48F0-BBA7-8F52571E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</vt:lpstr>
    </vt:vector>
  </TitlesOfParts>
  <Company>Ministerio del Interior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creator>lrodriguezg</dc:creator>
  <cp:lastModifiedBy>Marcos .</cp:lastModifiedBy>
  <cp:revision>2</cp:revision>
  <cp:lastPrinted>2019-05-21T13:04:00Z</cp:lastPrinted>
  <dcterms:created xsi:type="dcterms:W3CDTF">2019-05-23T09:13:00Z</dcterms:created>
  <dcterms:modified xsi:type="dcterms:W3CDTF">2019-05-23T09:13:00Z</dcterms:modified>
</cp:coreProperties>
</file>